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DAF19" w14:textId="77777777" w:rsidR="00990094" w:rsidRDefault="00990094" w:rsidP="00990094">
      <w:pPr>
        <w:spacing w:after="0" w:line="360" w:lineRule="auto"/>
        <w:jc w:val="both"/>
        <w:rPr>
          <w:rFonts w:ascii="Palatino Linotype" w:hAnsi="Palatino Linotype" w:cs="Tahoma"/>
          <w:b/>
        </w:rPr>
      </w:pPr>
    </w:p>
    <w:p w14:paraId="50EC9191" w14:textId="1840AD86" w:rsidR="00AC4B32" w:rsidRPr="00B955FB" w:rsidRDefault="00DD7BF6" w:rsidP="00990094">
      <w:pPr>
        <w:spacing w:after="0" w:line="360" w:lineRule="auto"/>
        <w:jc w:val="both"/>
        <w:rPr>
          <w:rFonts w:ascii="Palatino Linotype" w:hAnsi="Palatino Linotype" w:cs="Tahoma"/>
        </w:rPr>
      </w:pPr>
      <w:r w:rsidRPr="00B955FB">
        <w:rPr>
          <w:rFonts w:ascii="Palatino Linotype" w:hAnsi="Palatino Linotype" w:cs="Tahoma"/>
          <w:b/>
        </w:rPr>
        <w:t>OPINIÓN PARTICULA</w:t>
      </w:r>
      <w:bookmarkStart w:id="0" w:name="_GoBack"/>
      <w:bookmarkEnd w:id="0"/>
      <w:r w:rsidRPr="00B955FB">
        <w:rPr>
          <w:rFonts w:ascii="Palatino Linotype" w:hAnsi="Palatino Linotype" w:cs="Tahoma"/>
          <w:b/>
        </w:rPr>
        <w:t xml:space="preserve">R QUE FORMULA EL COMISIONADO LUIS GUSTAVO PARRA NORIEGA, EN RELACIÓN CON LA RESOLUCIÓN DEL RECURSO DE REVISIÓN </w:t>
      </w:r>
      <w:r w:rsidRPr="00B955FB">
        <w:rPr>
          <w:rFonts w:ascii="Palatino Linotype" w:hAnsi="Palatino Linotype" w:cs="Tahoma"/>
          <w:b/>
          <w:lang w:val="es-ES_tradnl"/>
        </w:rPr>
        <w:t>0</w:t>
      </w:r>
      <w:r w:rsidR="008B4DA2" w:rsidRPr="00B955FB">
        <w:rPr>
          <w:rFonts w:ascii="Palatino Linotype" w:hAnsi="Palatino Linotype" w:cs="Tahoma"/>
          <w:b/>
          <w:lang w:val="es-ES_tradnl"/>
        </w:rPr>
        <w:t>3829</w:t>
      </w:r>
      <w:r w:rsidRPr="00B955FB">
        <w:rPr>
          <w:rFonts w:ascii="Palatino Linotype" w:hAnsi="Palatino Linotype" w:cs="Tahoma"/>
          <w:b/>
          <w:lang w:val="es-ES_tradnl"/>
        </w:rPr>
        <w:t xml:space="preserve">/INFOEM/IP/RR/2018 </w:t>
      </w:r>
      <w:r w:rsidRPr="00B955FB">
        <w:rPr>
          <w:rFonts w:ascii="Palatino Linotype" w:hAnsi="Palatino Linotype" w:cs="Tahoma"/>
          <w:b/>
        </w:rPr>
        <w:t>PROMOVIDO EN CONTRA DE</w:t>
      </w:r>
      <w:r w:rsidR="00AC4B32" w:rsidRPr="00B955FB">
        <w:rPr>
          <w:rFonts w:ascii="Palatino Linotype" w:hAnsi="Palatino Linotype" w:cs="Tahoma"/>
          <w:b/>
        </w:rPr>
        <w:t xml:space="preserve">L </w:t>
      </w:r>
      <w:r w:rsidR="0046269D" w:rsidRPr="00B955FB">
        <w:rPr>
          <w:rFonts w:ascii="Palatino Linotype" w:hAnsi="Palatino Linotype" w:cs="Tahoma"/>
          <w:b/>
        </w:rPr>
        <w:t>INSTITUTO DE SEGURIDAD SOCIAL DEL ESTADO DE MÉXICO Y MUNICIPIOS</w:t>
      </w:r>
      <w:r w:rsidR="00212B5B" w:rsidRPr="00B955FB">
        <w:rPr>
          <w:rFonts w:ascii="Palatino Linotype" w:hAnsi="Palatino Linotype" w:cs="Tahoma"/>
          <w:b/>
        </w:rPr>
        <w:t xml:space="preserve"> (ISSEMYM)</w:t>
      </w:r>
      <w:r w:rsidR="0046269D" w:rsidRPr="00B955FB">
        <w:rPr>
          <w:rFonts w:ascii="Palatino Linotype" w:hAnsi="Palatino Linotype" w:cs="Tahoma"/>
          <w:b/>
        </w:rPr>
        <w:t>.</w:t>
      </w:r>
    </w:p>
    <w:p w14:paraId="1E9959DE" w14:textId="77777777" w:rsidR="00AC4B32" w:rsidRPr="00B955FB" w:rsidRDefault="00AC4B32" w:rsidP="00990094">
      <w:pPr>
        <w:spacing w:after="0" w:line="360" w:lineRule="auto"/>
        <w:jc w:val="both"/>
        <w:rPr>
          <w:rFonts w:ascii="Palatino Linotype" w:hAnsi="Palatino Linotype" w:cs="Tahoma"/>
        </w:rPr>
      </w:pPr>
    </w:p>
    <w:p w14:paraId="7C196C97" w14:textId="77777777" w:rsidR="009E0861" w:rsidRPr="00B955FB" w:rsidRDefault="00DD7BF6" w:rsidP="00990094">
      <w:pPr>
        <w:spacing w:after="0" w:line="360" w:lineRule="auto"/>
        <w:jc w:val="both"/>
        <w:rPr>
          <w:rFonts w:ascii="Palatino Linotype" w:hAnsi="Palatino Linotype" w:cs="Tahoma"/>
        </w:rPr>
      </w:pPr>
      <w:r w:rsidRPr="00B955FB">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la presente </w:t>
      </w:r>
      <w:r w:rsidRPr="00B955FB">
        <w:rPr>
          <w:rFonts w:ascii="Palatino Linotype" w:hAnsi="Palatino Linotype" w:cs="Tahoma"/>
          <w:b/>
        </w:rPr>
        <w:t>Opinión Particular</w:t>
      </w:r>
      <w:r w:rsidRPr="00B955FB">
        <w:rPr>
          <w:rFonts w:ascii="Palatino Linotype" w:hAnsi="Palatino Linotype" w:cs="Tahoma"/>
        </w:rPr>
        <w:t xml:space="preserve">, con la finalidad de abonar a las consideraciones que sustentan la Resolución del Recurso de Revisión </w:t>
      </w:r>
      <w:r w:rsidRPr="00B955FB">
        <w:rPr>
          <w:rFonts w:ascii="Palatino Linotype" w:hAnsi="Palatino Linotype" w:cs="Tahoma"/>
          <w:lang w:val="es-ES_tradnl"/>
        </w:rPr>
        <w:t>0</w:t>
      </w:r>
      <w:r w:rsidR="002E3780" w:rsidRPr="00B955FB">
        <w:rPr>
          <w:rFonts w:ascii="Palatino Linotype" w:hAnsi="Palatino Linotype" w:cs="Tahoma"/>
          <w:lang w:val="es-ES_tradnl"/>
        </w:rPr>
        <w:t>3829</w:t>
      </w:r>
      <w:r w:rsidR="00F11484" w:rsidRPr="00B955FB">
        <w:rPr>
          <w:rFonts w:ascii="Palatino Linotype" w:hAnsi="Palatino Linotype" w:cs="Tahoma"/>
          <w:lang w:val="es-ES_tradnl"/>
        </w:rPr>
        <w:t>/INFOEM/IP/RR/2018</w:t>
      </w:r>
      <w:r w:rsidRPr="00B955FB">
        <w:rPr>
          <w:rFonts w:ascii="Palatino Linotype" w:hAnsi="Palatino Linotype" w:cs="Tahoma"/>
          <w:lang w:val="es-ES_tradnl"/>
        </w:rPr>
        <w:t>.</w:t>
      </w:r>
    </w:p>
    <w:p w14:paraId="7667DFFA" w14:textId="77777777" w:rsidR="00DD7BF6" w:rsidRPr="00B955FB" w:rsidRDefault="00DD7BF6" w:rsidP="00990094">
      <w:pPr>
        <w:spacing w:after="0" w:line="360" w:lineRule="auto"/>
        <w:jc w:val="both"/>
        <w:rPr>
          <w:rFonts w:ascii="Palatino Linotype" w:hAnsi="Palatino Linotype" w:cs="Tahoma"/>
        </w:rPr>
      </w:pPr>
    </w:p>
    <w:p w14:paraId="0A08753B" w14:textId="6958D37B" w:rsidR="00B1490B" w:rsidRPr="00B955FB" w:rsidRDefault="00DD7BF6" w:rsidP="00990094">
      <w:pPr>
        <w:spacing w:after="0" w:line="360" w:lineRule="auto"/>
        <w:jc w:val="both"/>
        <w:rPr>
          <w:rFonts w:ascii="Palatino Linotype" w:hAnsi="Palatino Linotype" w:cs="Tahoma"/>
        </w:rPr>
      </w:pPr>
      <w:r w:rsidRPr="00B955FB">
        <w:rPr>
          <w:rFonts w:ascii="Palatino Linotype" w:hAnsi="Palatino Linotype" w:cs="Tahoma"/>
        </w:rPr>
        <w:t xml:space="preserve">El Recurso de Revisión que nos ocupa, derivó de </w:t>
      </w:r>
      <w:r w:rsidR="00B1490B" w:rsidRPr="00B955FB">
        <w:rPr>
          <w:rFonts w:ascii="Palatino Linotype" w:hAnsi="Palatino Linotype" w:cs="Tahoma"/>
        </w:rPr>
        <w:t xml:space="preserve">la respuesta del Sujeto Obligado, con motivo de la solicitud </w:t>
      </w:r>
      <w:r w:rsidR="008A37D1">
        <w:rPr>
          <w:rFonts w:ascii="Palatino Linotype" w:hAnsi="Palatino Linotype" w:cs="Tahoma"/>
        </w:rPr>
        <w:t>sobre el número de</w:t>
      </w:r>
      <w:r w:rsidR="00212B5B" w:rsidRPr="00B955FB">
        <w:rPr>
          <w:rFonts w:ascii="Palatino Linotype" w:hAnsi="Palatino Linotype" w:cs="Tahoma"/>
        </w:rPr>
        <w:t xml:space="preserve"> quejas interpuestas </w:t>
      </w:r>
      <w:r w:rsidR="0002508B">
        <w:rPr>
          <w:rFonts w:ascii="Palatino Linotype" w:hAnsi="Palatino Linotype" w:cs="Tahoma"/>
        </w:rPr>
        <w:t>en contra</w:t>
      </w:r>
      <w:r w:rsidR="0002508B" w:rsidRPr="00B955FB">
        <w:rPr>
          <w:rFonts w:ascii="Palatino Linotype" w:hAnsi="Palatino Linotype" w:cs="Tahoma"/>
        </w:rPr>
        <w:t xml:space="preserve"> </w:t>
      </w:r>
      <w:r w:rsidR="00212B5B" w:rsidRPr="00B955FB">
        <w:rPr>
          <w:rFonts w:ascii="Palatino Linotype" w:hAnsi="Palatino Linotype" w:cs="Tahoma"/>
        </w:rPr>
        <w:t>una servidora pública</w:t>
      </w:r>
      <w:r w:rsidR="0002508B">
        <w:rPr>
          <w:rFonts w:ascii="Palatino Linotype" w:hAnsi="Palatino Linotype" w:cs="Tahoma"/>
        </w:rPr>
        <w:t xml:space="preserve"> de quien se precisó el nombre</w:t>
      </w:r>
      <w:r w:rsidR="008A37D1">
        <w:rPr>
          <w:rFonts w:ascii="Palatino Linotype" w:hAnsi="Palatino Linotype" w:cs="Tahoma"/>
        </w:rPr>
        <w:t xml:space="preserve">; el </w:t>
      </w:r>
      <w:r w:rsidR="00212B5B" w:rsidRPr="00B955FB">
        <w:rPr>
          <w:rFonts w:ascii="Palatino Linotype" w:hAnsi="Palatino Linotype" w:cs="Tahoma"/>
        </w:rPr>
        <w:t>estado de las mismas, así como saber si en alguna se inició procedimiento sancionador o alguna medida de apremio</w:t>
      </w:r>
      <w:r w:rsidR="00B1490B" w:rsidRPr="00B955FB">
        <w:rPr>
          <w:rFonts w:ascii="Palatino Linotype" w:hAnsi="Palatino Linotype" w:cs="Tahoma"/>
        </w:rPr>
        <w:t xml:space="preserve">; una vez interpuesto el </w:t>
      </w:r>
      <w:r w:rsidR="00703667">
        <w:rPr>
          <w:rFonts w:ascii="Palatino Linotype" w:hAnsi="Palatino Linotype" w:cs="Tahoma"/>
        </w:rPr>
        <w:t>R</w:t>
      </w:r>
      <w:r w:rsidR="00703667" w:rsidRPr="00B955FB">
        <w:rPr>
          <w:rFonts w:ascii="Palatino Linotype" w:hAnsi="Palatino Linotype" w:cs="Tahoma"/>
        </w:rPr>
        <w:t>ecurso</w:t>
      </w:r>
      <w:r w:rsidR="00703667">
        <w:rPr>
          <w:rFonts w:ascii="Palatino Linotype" w:hAnsi="Palatino Linotype" w:cs="Tahoma"/>
        </w:rPr>
        <w:t xml:space="preserve"> de Revisión y</w:t>
      </w:r>
      <w:r w:rsidR="00B1490B" w:rsidRPr="00B955FB">
        <w:rPr>
          <w:rFonts w:ascii="Palatino Linotype" w:hAnsi="Palatino Linotype" w:cs="Tahoma"/>
        </w:rPr>
        <w:t xml:space="preserve">, dentro del plazo previsto para la entrega de manifestaciones, </w:t>
      </w:r>
      <w:r w:rsidR="00212B5B" w:rsidRPr="00B955FB">
        <w:rPr>
          <w:rFonts w:ascii="Palatino Linotype" w:hAnsi="Palatino Linotype" w:cs="Tahoma"/>
        </w:rPr>
        <w:t xml:space="preserve">el Sujeto Obligado informó que derivado de una búsqueda exhaustiva en el expediente personal de la servidora pública detectó un oficio signado por el Director General de Investigación de la Secretaria de la Contraloría del Gobierno del Estado de México, mediante el cual hace mención a la denuncia </w:t>
      </w:r>
      <w:r w:rsidR="00ED338E">
        <w:rPr>
          <w:rFonts w:ascii="Palatino Linotype" w:hAnsi="Palatino Linotype" w:cs="Tahoma"/>
        </w:rPr>
        <w:t>del que indicó el</w:t>
      </w:r>
      <w:r w:rsidR="00212B5B" w:rsidRPr="00B955FB">
        <w:rPr>
          <w:rFonts w:ascii="Palatino Linotype" w:hAnsi="Palatino Linotype" w:cs="Tahoma"/>
        </w:rPr>
        <w:t xml:space="preserve"> número de folio, presentada a través del Sistema de Atención Mexiquense (SAM) por un denunciante anónimo, lo cual </w:t>
      </w:r>
      <w:r w:rsidR="00212B5B" w:rsidRPr="00B955FB">
        <w:rPr>
          <w:rFonts w:ascii="Palatino Linotype" w:hAnsi="Palatino Linotype" w:cs="Tahoma"/>
        </w:rPr>
        <w:lastRenderedPageBreak/>
        <w:t>a decir de</w:t>
      </w:r>
      <w:r w:rsidR="00841076">
        <w:rPr>
          <w:rFonts w:ascii="Palatino Linotype" w:hAnsi="Palatino Linotype" w:cs="Tahoma"/>
        </w:rPr>
        <w:t xml:space="preserve"> </w:t>
      </w:r>
      <w:r w:rsidR="00212B5B" w:rsidRPr="00B955FB">
        <w:rPr>
          <w:rFonts w:ascii="Palatino Linotype" w:hAnsi="Palatino Linotype" w:cs="Tahoma"/>
        </w:rPr>
        <w:t>l</w:t>
      </w:r>
      <w:r w:rsidR="00841076">
        <w:rPr>
          <w:rFonts w:ascii="Palatino Linotype" w:hAnsi="Palatino Linotype" w:cs="Tahoma"/>
        </w:rPr>
        <w:t>a Ponencia Resolutora</w:t>
      </w:r>
      <w:r w:rsidR="0022512E">
        <w:rPr>
          <w:rFonts w:ascii="Palatino Linotype" w:hAnsi="Palatino Linotype" w:cs="Tahoma"/>
        </w:rPr>
        <w:t>,</w:t>
      </w:r>
      <w:r w:rsidR="00212B5B" w:rsidRPr="00B955FB">
        <w:rPr>
          <w:rFonts w:ascii="Palatino Linotype" w:hAnsi="Palatino Linotype" w:cs="Tahoma"/>
        </w:rPr>
        <w:t xml:space="preserve"> </w:t>
      </w:r>
      <w:r w:rsidR="0022512E">
        <w:rPr>
          <w:rFonts w:ascii="Palatino Linotype" w:hAnsi="Palatino Linotype" w:cs="Tahoma"/>
        </w:rPr>
        <w:t xml:space="preserve">se trató de información  que </w:t>
      </w:r>
      <w:r w:rsidR="0022512E" w:rsidRPr="00B955FB">
        <w:rPr>
          <w:rFonts w:ascii="Palatino Linotype" w:hAnsi="Palatino Linotype" w:cs="Tahoma"/>
        </w:rPr>
        <w:t>robustec</w:t>
      </w:r>
      <w:r w:rsidR="0022512E">
        <w:rPr>
          <w:rFonts w:ascii="Palatino Linotype" w:hAnsi="Palatino Linotype" w:cs="Tahoma"/>
        </w:rPr>
        <w:t>ió</w:t>
      </w:r>
      <w:r w:rsidR="0022512E" w:rsidRPr="00B955FB">
        <w:rPr>
          <w:rFonts w:ascii="Palatino Linotype" w:hAnsi="Palatino Linotype" w:cs="Tahoma"/>
        </w:rPr>
        <w:t xml:space="preserve"> </w:t>
      </w:r>
      <w:r w:rsidR="00212B5B" w:rsidRPr="00B955FB">
        <w:rPr>
          <w:rFonts w:ascii="Palatino Linotype" w:hAnsi="Palatino Linotype" w:cs="Tahoma"/>
        </w:rPr>
        <w:t>la orientación otorgada al solicitante al momento de emitir respuesta</w:t>
      </w:r>
      <w:r w:rsidR="00B1490B" w:rsidRPr="00B955FB">
        <w:rPr>
          <w:rFonts w:ascii="Palatino Linotype" w:hAnsi="Palatino Linotype" w:cs="Tahoma"/>
        </w:rPr>
        <w:t xml:space="preserve">, motivo por el cual dentro del resolutivo, se determinó Sobreseer el recurso, por </w:t>
      </w:r>
      <w:r w:rsidR="00212B5B" w:rsidRPr="00B955FB">
        <w:rPr>
          <w:rFonts w:ascii="Palatino Linotype" w:hAnsi="Palatino Linotype" w:cs="Tahoma"/>
        </w:rPr>
        <w:t xml:space="preserve">haber </w:t>
      </w:r>
      <w:r w:rsidR="00B1490B" w:rsidRPr="00B955FB">
        <w:rPr>
          <w:rFonts w:ascii="Palatino Linotype" w:hAnsi="Palatino Linotype" w:cs="Tahoma"/>
        </w:rPr>
        <w:t xml:space="preserve">quedado sin materia. </w:t>
      </w:r>
    </w:p>
    <w:p w14:paraId="01861235" w14:textId="77777777" w:rsidR="00B1490B" w:rsidRPr="00B955FB" w:rsidRDefault="00B1490B">
      <w:pPr>
        <w:spacing w:after="0" w:line="360" w:lineRule="auto"/>
        <w:jc w:val="both"/>
        <w:rPr>
          <w:rFonts w:ascii="Palatino Linotype" w:hAnsi="Palatino Linotype" w:cs="Tahoma"/>
        </w:rPr>
      </w:pPr>
    </w:p>
    <w:p w14:paraId="0F753075" w14:textId="18ED7045" w:rsidR="00106B65" w:rsidRPr="00B955FB" w:rsidRDefault="00106B65">
      <w:pPr>
        <w:spacing w:after="0" w:line="360" w:lineRule="auto"/>
        <w:jc w:val="both"/>
        <w:rPr>
          <w:rFonts w:ascii="Palatino Linotype" w:hAnsi="Palatino Linotype" w:cs="Tahoma"/>
        </w:rPr>
      </w:pPr>
      <w:r w:rsidRPr="00B955FB">
        <w:rPr>
          <w:rFonts w:ascii="Palatino Linotype" w:hAnsi="Palatino Linotype" w:cs="Tahoma"/>
        </w:rPr>
        <w:t>S</w:t>
      </w:r>
      <w:r w:rsidR="006D7F35">
        <w:rPr>
          <w:rFonts w:ascii="Palatino Linotype" w:hAnsi="Palatino Linotype" w:cs="Tahoma"/>
        </w:rPr>
        <w:t xml:space="preserve">in embargo, lo que destaca de la Resolución, motivo por el cual </w:t>
      </w:r>
      <w:r w:rsidR="00C84325">
        <w:rPr>
          <w:rFonts w:ascii="Palatino Linotype" w:hAnsi="Palatino Linotype" w:cs="Tahoma"/>
        </w:rPr>
        <w:t xml:space="preserve">voté a favor de la misma es que </w:t>
      </w:r>
      <w:r w:rsidRPr="00B955FB">
        <w:rPr>
          <w:rFonts w:ascii="Palatino Linotype" w:hAnsi="Palatino Linotype" w:cs="Tahoma"/>
        </w:rPr>
        <w:t xml:space="preserve">el </w:t>
      </w:r>
      <w:r w:rsidR="00212B5B" w:rsidRPr="00B955FB">
        <w:rPr>
          <w:rFonts w:ascii="Palatino Linotype" w:hAnsi="Palatino Linotype" w:cs="Tahoma"/>
        </w:rPr>
        <w:t xml:space="preserve">ISSEMYM atendió en tiempo y forma la solicitud en comento, orientando al particular a presentar su solicitud de acceso a la información pública ante el Sujeto Obligado competente, que para este caso es la </w:t>
      </w:r>
      <w:r w:rsidR="0086563A" w:rsidRPr="00B955FB">
        <w:rPr>
          <w:rFonts w:ascii="Palatino Linotype" w:hAnsi="Palatino Linotype" w:cs="Tahoma"/>
        </w:rPr>
        <w:t>Secretaría de la Contraloría del Estado de México</w:t>
      </w:r>
      <w:r w:rsidR="00502A29" w:rsidRPr="00B955FB">
        <w:rPr>
          <w:rFonts w:ascii="Palatino Linotype" w:hAnsi="Palatino Linotype" w:cs="Tahoma"/>
        </w:rPr>
        <w:t xml:space="preserve"> (SECOGEM)</w:t>
      </w:r>
      <w:r w:rsidR="0086563A" w:rsidRPr="00B955FB">
        <w:rPr>
          <w:rFonts w:ascii="Palatino Linotype" w:hAnsi="Palatino Linotype" w:cs="Tahoma"/>
        </w:rPr>
        <w:t xml:space="preserve">, toda vez que tal como quedó asentado en la </w:t>
      </w:r>
      <w:r w:rsidR="00C84325">
        <w:rPr>
          <w:rFonts w:ascii="Palatino Linotype" w:hAnsi="Palatino Linotype" w:cs="Tahoma"/>
        </w:rPr>
        <w:t>R</w:t>
      </w:r>
      <w:r w:rsidR="00C84325" w:rsidRPr="00B955FB">
        <w:rPr>
          <w:rFonts w:ascii="Palatino Linotype" w:hAnsi="Palatino Linotype" w:cs="Tahoma"/>
        </w:rPr>
        <w:t xml:space="preserve">esolución </w:t>
      </w:r>
      <w:r w:rsidR="0086563A" w:rsidRPr="00B955FB">
        <w:rPr>
          <w:rFonts w:ascii="Palatino Linotype" w:hAnsi="Palatino Linotype" w:cs="Tahoma"/>
        </w:rPr>
        <w:t xml:space="preserve">materia de la presente Opinión, </w:t>
      </w:r>
      <w:r w:rsidR="00502A29" w:rsidRPr="00B955FB">
        <w:rPr>
          <w:rFonts w:ascii="Palatino Linotype" w:hAnsi="Palatino Linotype" w:cs="Tahoma"/>
        </w:rPr>
        <w:t>de acuerdo al artículo 35</w:t>
      </w:r>
      <w:r w:rsidR="0086563A" w:rsidRPr="00B955FB">
        <w:rPr>
          <w:rFonts w:ascii="Palatino Linotype" w:hAnsi="Palatino Linotype" w:cs="Tahoma"/>
        </w:rPr>
        <w:t xml:space="preserve"> del Reglamento Interior de la Secretaría de la Contraloría del Estado de México, la Contraloría del Instituto de Seguridad Social del Estado de México y Municipios depende directa y funcionalmente de la citada </w:t>
      </w:r>
      <w:r w:rsidR="00C84325">
        <w:rPr>
          <w:rFonts w:ascii="Palatino Linotype" w:hAnsi="Palatino Linotype" w:cs="Tahoma"/>
        </w:rPr>
        <w:t>dependencia</w:t>
      </w:r>
      <w:r w:rsidR="0086563A" w:rsidRPr="00B955FB">
        <w:rPr>
          <w:rFonts w:ascii="Palatino Linotype" w:hAnsi="Palatino Linotype" w:cs="Tahoma"/>
        </w:rPr>
        <w:t>, por lo que esta última es la facultada para proporcionar la información requerida o hacer de conocimiento las causas, motivos y circunstancias por las cuales no es factible proporcionar los datos solicitados por tratarse de procedimientos no concluidos</w:t>
      </w:r>
      <w:r w:rsidR="00701D71">
        <w:rPr>
          <w:rFonts w:ascii="Palatino Linotype" w:hAnsi="Palatino Linotype" w:cs="Tahoma"/>
        </w:rPr>
        <w:t>, de ser el caso</w:t>
      </w:r>
      <w:r w:rsidR="0086563A" w:rsidRPr="00B955FB">
        <w:rPr>
          <w:rFonts w:ascii="Palatino Linotype" w:hAnsi="Palatino Linotype" w:cs="Tahoma"/>
        </w:rPr>
        <w:t>.</w:t>
      </w:r>
    </w:p>
    <w:p w14:paraId="1DD0AAA2" w14:textId="77777777" w:rsidR="00502A29" w:rsidRPr="00B955FB" w:rsidRDefault="00502A29">
      <w:pPr>
        <w:spacing w:after="0" w:line="360" w:lineRule="auto"/>
        <w:jc w:val="both"/>
        <w:rPr>
          <w:rFonts w:ascii="Palatino Linotype" w:hAnsi="Palatino Linotype" w:cs="Tahoma"/>
        </w:rPr>
      </w:pPr>
    </w:p>
    <w:p w14:paraId="70631965" w14:textId="4B9ABDDC" w:rsidR="00022968" w:rsidRDefault="00022968" w:rsidP="00990094">
      <w:pPr>
        <w:spacing w:after="0" w:line="360" w:lineRule="auto"/>
        <w:jc w:val="both"/>
        <w:rPr>
          <w:rFonts w:ascii="Palatino Linotype" w:hAnsi="Palatino Linotype" w:cs="Tahoma"/>
        </w:rPr>
      </w:pPr>
      <w:r>
        <w:rPr>
          <w:rFonts w:ascii="Palatino Linotype" w:hAnsi="Palatino Linotype" w:cs="Tahoma"/>
        </w:rPr>
        <w:t xml:space="preserve">En este sentido, la presente Opinión Particular, tiene como objetivo dejar asentado que el pronunciamiento del ISSEMYM en su Informe Justificado fue incorrecto. </w:t>
      </w:r>
      <w:r w:rsidR="00502A29" w:rsidRPr="00B955FB">
        <w:rPr>
          <w:rFonts w:ascii="Palatino Linotype" w:hAnsi="Palatino Linotype" w:cs="Tahoma"/>
        </w:rPr>
        <w:t>Esto es así, debido a que al Sujeto Obligado únicamente le correspondía informar su falta de competencia para conocer de la información solicitada y orientar al particular a presentar su solicitud ante la SECOGEM</w:t>
      </w:r>
      <w:r w:rsidR="00AE7683">
        <w:rPr>
          <w:rFonts w:ascii="Palatino Linotype" w:hAnsi="Palatino Linotype" w:cs="Tahoma"/>
        </w:rPr>
        <w:t>,</w:t>
      </w:r>
      <w:r w:rsidR="006F546A">
        <w:rPr>
          <w:rFonts w:ascii="Palatino Linotype" w:hAnsi="Palatino Linotype" w:cs="Tahoma"/>
        </w:rPr>
        <w:t xml:space="preserve"> principalmente porque se pidió información que pudiera estar clasificada como reservada</w:t>
      </w:r>
      <w:r w:rsidR="00502A29" w:rsidRPr="00B955FB">
        <w:rPr>
          <w:rFonts w:ascii="Palatino Linotype" w:hAnsi="Palatino Linotype" w:cs="Tahoma"/>
        </w:rPr>
        <w:t xml:space="preserve">; no obstante, vía Informe Justificado, el ISSEMYM proporcionó información adicional </w:t>
      </w:r>
      <w:r w:rsidR="00F5649D">
        <w:rPr>
          <w:rFonts w:ascii="Palatino Linotype" w:hAnsi="Palatino Linotype" w:cs="Tahoma"/>
        </w:rPr>
        <w:t xml:space="preserve">respecto de la cual desconocía </w:t>
      </w:r>
      <w:r w:rsidR="00BC227C">
        <w:rPr>
          <w:rFonts w:ascii="Palatino Linotype" w:hAnsi="Palatino Linotype" w:cs="Tahoma"/>
        </w:rPr>
        <w:t xml:space="preserve">o desconoce </w:t>
      </w:r>
      <w:r w:rsidR="00FD05DF">
        <w:rPr>
          <w:rFonts w:ascii="Palatino Linotype" w:hAnsi="Palatino Linotype" w:cs="Tahoma"/>
        </w:rPr>
        <w:t>el estado procesal</w:t>
      </w:r>
      <w:r>
        <w:rPr>
          <w:rFonts w:ascii="Palatino Linotype" w:hAnsi="Palatino Linotype" w:cs="Tahoma"/>
        </w:rPr>
        <w:t xml:space="preserve"> del expediente al que hizo referencia</w:t>
      </w:r>
      <w:r w:rsidR="0051137C">
        <w:rPr>
          <w:rFonts w:ascii="Palatino Linotype" w:hAnsi="Palatino Linotype" w:cs="Tahoma"/>
        </w:rPr>
        <w:t>.</w:t>
      </w:r>
    </w:p>
    <w:p w14:paraId="305536E7" w14:textId="77777777" w:rsidR="00022968" w:rsidRDefault="00022968" w:rsidP="00990094">
      <w:pPr>
        <w:spacing w:after="0" w:line="360" w:lineRule="auto"/>
        <w:jc w:val="both"/>
        <w:rPr>
          <w:rFonts w:ascii="Palatino Linotype" w:hAnsi="Palatino Linotype" w:cs="Tahoma"/>
        </w:rPr>
      </w:pPr>
    </w:p>
    <w:p w14:paraId="692EDBAF" w14:textId="6B853BCD" w:rsidR="00502A29" w:rsidRDefault="0051137C" w:rsidP="00990094">
      <w:pPr>
        <w:spacing w:after="0" w:line="360" w:lineRule="auto"/>
        <w:jc w:val="both"/>
        <w:rPr>
          <w:rFonts w:ascii="Palatino Linotype" w:hAnsi="Palatino Linotype" w:cs="Tahoma"/>
        </w:rPr>
      </w:pPr>
      <w:r>
        <w:rPr>
          <w:rFonts w:ascii="Palatino Linotype" w:hAnsi="Palatino Linotype" w:cs="Tahoma"/>
        </w:rPr>
        <w:lastRenderedPageBreak/>
        <w:t xml:space="preserve"> En efecto,</w:t>
      </w:r>
      <w:r w:rsidRPr="00B955FB">
        <w:rPr>
          <w:rFonts w:ascii="Palatino Linotype" w:hAnsi="Palatino Linotype" w:cs="Tahoma"/>
        </w:rPr>
        <w:t xml:space="preserve"> </w:t>
      </w:r>
      <w:r w:rsidR="002C1C31">
        <w:rPr>
          <w:rFonts w:ascii="Palatino Linotype" w:hAnsi="Palatino Linotype" w:cs="Tahoma"/>
        </w:rPr>
        <w:t xml:space="preserve">hacer pública </w:t>
      </w:r>
      <w:r w:rsidR="00502A29" w:rsidRPr="00B955FB">
        <w:rPr>
          <w:rFonts w:ascii="Palatino Linotype" w:hAnsi="Palatino Linotype" w:cs="Tahoma"/>
        </w:rPr>
        <w:t>la existencia de una denuncia y el folio de la misma en contra de la servidora pública en cuestión</w:t>
      </w:r>
      <w:r>
        <w:rPr>
          <w:rFonts w:ascii="Palatino Linotype" w:hAnsi="Palatino Linotype" w:cs="Tahoma"/>
        </w:rPr>
        <w:t xml:space="preserve">, sin que </w:t>
      </w:r>
      <w:r w:rsidR="00B712E5">
        <w:rPr>
          <w:rFonts w:ascii="Palatino Linotype" w:hAnsi="Palatino Linotype" w:cs="Tahoma"/>
        </w:rPr>
        <w:t xml:space="preserve">el Sujeto Obligado haya </w:t>
      </w:r>
      <w:r>
        <w:rPr>
          <w:rFonts w:ascii="Palatino Linotype" w:hAnsi="Palatino Linotype" w:cs="Tahoma"/>
        </w:rPr>
        <w:t>informa</w:t>
      </w:r>
      <w:r w:rsidR="00B712E5">
        <w:rPr>
          <w:rFonts w:ascii="Palatino Linotype" w:hAnsi="Palatino Linotype" w:cs="Tahoma"/>
        </w:rPr>
        <w:t>do</w:t>
      </w:r>
      <w:r>
        <w:rPr>
          <w:rFonts w:ascii="Palatino Linotype" w:hAnsi="Palatino Linotype" w:cs="Tahoma"/>
        </w:rPr>
        <w:t xml:space="preserve"> respecto de la determinación final </w:t>
      </w:r>
      <w:r w:rsidR="00F9218B">
        <w:rPr>
          <w:rFonts w:ascii="Palatino Linotype" w:hAnsi="Palatino Linotype" w:cs="Tahoma"/>
        </w:rPr>
        <w:t>que permita identificar si</w:t>
      </w:r>
      <w:r w:rsidR="002A3068">
        <w:rPr>
          <w:rFonts w:ascii="Palatino Linotype" w:hAnsi="Palatino Linotype" w:cs="Tahoma"/>
        </w:rPr>
        <w:t xml:space="preserve"> la persona referida</w:t>
      </w:r>
      <w:r w:rsidR="00F9218B">
        <w:rPr>
          <w:rFonts w:ascii="Palatino Linotype" w:hAnsi="Palatino Linotype" w:cs="Tahoma"/>
        </w:rPr>
        <w:t xml:space="preserve"> fue o no responsable de </w:t>
      </w:r>
      <w:r w:rsidR="002A3068">
        <w:rPr>
          <w:rFonts w:ascii="Palatino Linotype" w:hAnsi="Palatino Linotype" w:cs="Tahoma"/>
        </w:rPr>
        <w:t>l</w:t>
      </w:r>
      <w:r w:rsidR="00F9218B">
        <w:rPr>
          <w:rFonts w:ascii="Palatino Linotype" w:hAnsi="Palatino Linotype" w:cs="Tahoma"/>
        </w:rPr>
        <w:t>a falta</w:t>
      </w:r>
      <w:r w:rsidR="002A3068">
        <w:rPr>
          <w:rFonts w:ascii="Palatino Linotype" w:hAnsi="Palatino Linotype" w:cs="Tahoma"/>
        </w:rPr>
        <w:t xml:space="preserve"> motivo de la denuncia</w:t>
      </w:r>
      <w:r w:rsidR="002C1C31">
        <w:rPr>
          <w:rFonts w:ascii="Palatino Linotype" w:hAnsi="Palatino Linotype" w:cs="Tahoma"/>
        </w:rPr>
        <w:t>,</w:t>
      </w:r>
      <w:r w:rsidR="0088027A" w:rsidRPr="00B955FB">
        <w:rPr>
          <w:rFonts w:ascii="Palatino Linotype" w:hAnsi="Palatino Linotype" w:cs="Tahoma"/>
        </w:rPr>
        <w:t xml:space="preserve"> causa un perjuicio a su imagen, reputación y honor, ya que se genera una opinión predispuesta del individuo</w:t>
      </w:r>
      <w:r w:rsidR="00F9218B">
        <w:rPr>
          <w:rFonts w:ascii="Palatino Linotype" w:hAnsi="Palatino Linotype" w:cs="Tahoma"/>
        </w:rPr>
        <w:t xml:space="preserve">, sin que, con esa información exista la posibilidad de identificar </w:t>
      </w:r>
      <w:r w:rsidR="00C3402E">
        <w:rPr>
          <w:rFonts w:ascii="Palatino Linotype" w:hAnsi="Palatino Linotype" w:cs="Tahoma"/>
        </w:rPr>
        <w:t>la determinación final</w:t>
      </w:r>
      <w:r w:rsidR="002C1C31">
        <w:rPr>
          <w:rFonts w:ascii="Palatino Linotype" w:hAnsi="Palatino Linotype" w:cs="Tahoma"/>
        </w:rPr>
        <w:t xml:space="preserve"> de la autoridad competente</w:t>
      </w:r>
      <w:r w:rsidR="00C3402E">
        <w:rPr>
          <w:rFonts w:ascii="Palatino Linotype" w:hAnsi="Palatino Linotype" w:cs="Tahoma"/>
        </w:rPr>
        <w:t>.</w:t>
      </w:r>
    </w:p>
    <w:p w14:paraId="53D20A66" w14:textId="3BE5CB43" w:rsidR="000A0378" w:rsidRDefault="000A0378" w:rsidP="00990094">
      <w:pPr>
        <w:spacing w:after="0" w:line="360" w:lineRule="auto"/>
        <w:jc w:val="both"/>
        <w:rPr>
          <w:rFonts w:ascii="Palatino Linotype" w:hAnsi="Palatino Linotype" w:cs="Tahoma"/>
        </w:rPr>
      </w:pPr>
    </w:p>
    <w:p w14:paraId="79B3ABDE" w14:textId="0C02FD55" w:rsidR="000A0378" w:rsidRPr="00E90136" w:rsidRDefault="000A0378">
      <w:pPr>
        <w:spacing w:after="0" w:line="360" w:lineRule="auto"/>
        <w:jc w:val="both"/>
        <w:rPr>
          <w:rFonts w:ascii="Palatino Linotype" w:hAnsi="Palatino Linotype" w:cs="Tahoma"/>
        </w:rPr>
      </w:pPr>
      <w:r>
        <w:rPr>
          <w:rFonts w:ascii="Palatino Linotype" w:hAnsi="Palatino Linotype" w:cs="Tahoma"/>
        </w:rPr>
        <w:t>Hacer del conocimiento público que un servidor público está siendo investigado por la posible comisión de una falta a la normatividad que suponga una responsabilidad administrativa, sienta un precedente negativo en su imagen y c</w:t>
      </w:r>
      <w:r w:rsidRPr="001843AE">
        <w:rPr>
          <w:rFonts w:ascii="Palatino Linotype" w:hAnsi="Palatino Linotype" w:cs="Tahoma"/>
          <w:i/>
        </w:rPr>
        <w:t>urriculum</w:t>
      </w:r>
      <w:r w:rsidR="00E90136">
        <w:rPr>
          <w:rFonts w:ascii="Palatino Linotype" w:hAnsi="Palatino Linotype" w:cs="Tahoma"/>
        </w:rPr>
        <w:t>, que puede considerarse injustificado si la conducta que se atribuye en realidad no aconteció</w:t>
      </w:r>
      <w:r w:rsidR="00322FB8">
        <w:rPr>
          <w:rFonts w:ascii="Palatino Linotype" w:hAnsi="Palatino Linotype" w:cs="Tahoma"/>
        </w:rPr>
        <w:t xml:space="preserve"> o por lo menos, al momento de hacer público el hecho, este no se tiene por corroborado por la autoridad competente.</w:t>
      </w:r>
    </w:p>
    <w:p w14:paraId="45AEAE11" w14:textId="77777777" w:rsidR="0088027A" w:rsidRPr="00B955FB" w:rsidRDefault="0088027A">
      <w:pPr>
        <w:spacing w:after="0" w:line="360" w:lineRule="auto"/>
        <w:jc w:val="both"/>
        <w:rPr>
          <w:rFonts w:ascii="Palatino Linotype" w:hAnsi="Palatino Linotype" w:cs="Tahoma"/>
        </w:rPr>
      </w:pPr>
    </w:p>
    <w:p w14:paraId="59588A1B" w14:textId="35AF3890" w:rsidR="00B64608" w:rsidRPr="00B955FB" w:rsidRDefault="0088027A">
      <w:pPr>
        <w:spacing w:after="0" w:line="360" w:lineRule="auto"/>
        <w:jc w:val="both"/>
        <w:rPr>
          <w:rFonts w:ascii="Palatino Linotype" w:hAnsi="Palatino Linotype" w:cs="Tahoma"/>
        </w:rPr>
      </w:pPr>
      <w:r w:rsidRPr="00B955FB">
        <w:rPr>
          <w:rFonts w:ascii="Palatino Linotype" w:hAnsi="Palatino Linotype" w:cs="Tahoma"/>
        </w:rPr>
        <w:t xml:space="preserve">Al respecto, </w:t>
      </w:r>
      <w:r w:rsidR="00B64608" w:rsidRPr="00B955FB">
        <w:rPr>
          <w:rFonts w:ascii="Palatino Linotype" w:hAnsi="Palatino Linotype" w:cs="Tahoma"/>
        </w:rPr>
        <w:t>la Constitución Política del Estado Libre y Soberano de México, establece en su artículo 5</w:t>
      </w:r>
      <w:r w:rsidR="008E2AFF">
        <w:rPr>
          <w:rFonts w:ascii="Palatino Linotype" w:hAnsi="Palatino Linotype" w:cs="Tahoma"/>
        </w:rPr>
        <w:t>°</w:t>
      </w:r>
      <w:r w:rsidR="00B64608" w:rsidRPr="00B955FB">
        <w:rPr>
          <w:rFonts w:ascii="Palatino Linotype" w:hAnsi="Palatino Linotype" w:cs="Tahoma"/>
        </w:rPr>
        <w:t>, párrafo veintiuno, fracción II, que la información referente a la intimidad de la vida privada y la imagen de las personas será protegida a través de un marco jurídico rígido de tratamiento y manejo de datos personales.</w:t>
      </w:r>
    </w:p>
    <w:p w14:paraId="34B71609" w14:textId="77777777" w:rsidR="00B64608" w:rsidRPr="00B955FB" w:rsidRDefault="00B64608">
      <w:pPr>
        <w:spacing w:after="0" w:line="360" w:lineRule="auto"/>
        <w:jc w:val="both"/>
        <w:rPr>
          <w:rFonts w:ascii="Palatino Linotype" w:hAnsi="Palatino Linotype" w:cs="Tahoma"/>
        </w:rPr>
      </w:pPr>
    </w:p>
    <w:p w14:paraId="6ED52425" w14:textId="77777777" w:rsidR="0088027A" w:rsidRPr="00B955FB" w:rsidRDefault="00B64608">
      <w:pPr>
        <w:spacing w:after="0" w:line="360" w:lineRule="auto"/>
        <w:jc w:val="both"/>
        <w:rPr>
          <w:rFonts w:ascii="Palatino Linotype" w:hAnsi="Palatino Linotype" w:cs="Tahoma"/>
        </w:rPr>
      </w:pPr>
      <w:r w:rsidRPr="00B955FB">
        <w:rPr>
          <w:rFonts w:ascii="Palatino Linotype" w:hAnsi="Palatino Linotype" w:cs="Tahoma"/>
        </w:rPr>
        <w:t xml:space="preserve">Asimismo, </w:t>
      </w:r>
      <w:r w:rsidR="0088027A" w:rsidRPr="00B955FB">
        <w:rPr>
          <w:rFonts w:ascii="Palatino Linotype" w:hAnsi="Palatino Linotype" w:cs="Tahoma"/>
        </w:rPr>
        <w:t>la Suprema Corte de Justicia de la Nación ha emitido la jurisprudencia siguiente:</w:t>
      </w:r>
    </w:p>
    <w:p w14:paraId="01D88739" w14:textId="77777777" w:rsidR="0088027A" w:rsidRPr="00B955FB" w:rsidRDefault="0088027A">
      <w:pPr>
        <w:spacing w:after="0" w:line="360" w:lineRule="auto"/>
        <w:jc w:val="both"/>
        <w:rPr>
          <w:rFonts w:ascii="Palatino Linotype" w:hAnsi="Palatino Linotype" w:cs="Tahoma"/>
        </w:rPr>
      </w:pPr>
    </w:p>
    <w:p w14:paraId="6AC838D9" w14:textId="77777777" w:rsidR="0088027A" w:rsidRPr="001843AE" w:rsidRDefault="0088027A">
      <w:pPr>
        <w:spacing w:after="0" w:line="360" w:lineRule="auto"/>
        <w:ind w:left="567" w:right="567"/>
        <w:jc w:val="both"/>
        <w:rPr>
          <w:rFonts w:ascii="Palatino Linotype" w:hAnsi="Palatino Linotype" w:cs="Tahoma"/>
          <w:b/>
          <w:sz w:val="20"/>
          <w:szCs w:val="20"/>
        </w:rPr>
      </w:pPr>
      <w:r w:rsidRPr="001843AE">
        <w:rPr>
          <w:rFonts w:ascii="Palatino Linotype" w:hAnsi="Palatino Linotype" w:cs="Tahoma"/>
          <w:b/>
          <w:sz w:val="20"/>
          <w:szCs w:val="20"/>
        </w:rPr>
        <w:t>DERECHO FUNDAMENTAL AL HONOR. SU DIMENSIÓN SUBJETIVA Y OBJETIVA.</w:t>
      </w:r>
    </w:p>
    <w:p w14:paraId="1E39BDF2" w14:textId="77777777" w:rsidR="0088027A" w:rsidRPr="001843AE" w:rsidRDefault="0088027A">
      <w:pPr>
        <w:spacing w:after="0" w:line="360" w:lineRule="auto"/>
        <w:ind w:left="567" w:right="567"/>
        <w:jc w:val="both"/>
        <w:rPr>
          <w:rFonts w:ascii="Palatino Linotype" w:hAnsi="Palatino Linotype" w:cs="Tahoma"/>
          <w:sz w:val="20"/>
          <w:szCs w:val="20"/>
        </w:rPr>
      </w:pPr>
    </w:p>
    <w:p w14:paraId="2838A0B1" w14:textId="77777777" w:rsidR="0088027A" w:rsidRPr="001843AE" w:rsidRDefault="0088027A">
      <w:pPr>
        <w:spacing w:after="0" w:line="360" w:lineRule="auto"/>
        <w:ind w:left="567" w:right="567"/>
        <w:jc w:val="both"/>
        <w:rPr>
          <w:rFonts w:ascii="Palatino Linotype" w:hAnsi="Palatino Linotype" w:cs="Tahoma"/>
          <w:sz w:val="20"/>
          <w:szCs w:val="20"/>
        </w:rPr>
      </w:pPr>
      <w:r w:rsidRPr="001843AE">
        <w:rPr>
          <w:rFonts w:ascii="Palatino Linotype" w:hAnsi="Palatino Linotype" w:cs="Tahoma"/>
          <w:sz w:val="20"/>
          <w:szCs w:val="20"/>
        </w:rPr>
        <w:t xml:space="preserve">A juicio de esta Primera Sala de la Suprema Corte de Justicia de la Nación, es posible definir al honor como el concepto que la persona tiene de sí misma o que los demás se han formado de ella, en virtud de su proceder o de la expresión de su calidad ética y </w:t>
      </w:r>
      <w:r w:rsidRPr="001843AE">
        <w:rPr>
          <w:rFonts w:ascii="Palatino Linotype" w:hAnsi="Palatino Linotype" w:cs="Tahoma"/>
          <w:sz w:val="20"/>
          <w:szCs w:val="20"/>
        </w:rPr>
        <w:lastRenderedPageBreak/>
        <w:t>social.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1F796D7C" w14:textId="77777777" w:rsidR="00B64608" w:rsidRPr="001843AE" w:rsidRDefault="00B64608">
      <w:pPr>
        <w:spacing w:after="0" w:line="360" w:lineRule="auto"/>
        <w:ind w:left="567" w:right="567"/>
        <w:jc w:val="both"/>
        <w:rPr>
          <w:rFonts w:ascii="Palatino Linotype" w:hAnsi="Palatino Linotype" w:cs="Tahoma"/>
          <w:sz w:val="20"/>
          <w:szCs w:val="20"/>
        </w:rPr>
      </w:pPr>
    </w:p>
    <w:p w14:paraId="1069F6F5" w14:textId="77777777" w:rsidR="00B64608" w:rsidRPr="001843AE" w:rsidRDefault="00B64608">
      <w:pPr>
        <w:spacing w:after="0" w:line="360" w:lineRule="auto"/>
        <w:ind w:left="567" w:right="567"/>
        <w:jc w:val="both"/>
        <w:rPr>
          <w:rFonts w:ascii="Palatino Linotype" w:hAnsi="Palatino Linotype" w:cs="Tahoma"/>
          <w:sz w:val="20"/>
          <w:szCs w:val="20"/>
        </w:rPr>
      </w:pPr>
      <w:r w:rsidRPr="001843AE">
        <w:rPr>
          <w:rFonts w:ascii="Palatino Linotype" w:hAnsi="Palatino Linotype" w:cs="Tahoma"/>
          <w:sz w:val="20"/>
          <w:szCs w:val="20"/>
        </w:rPr>
        <w:t>Esta tesis se publicó el viernes 14 de febrero de 2014 a las 11:05 horas en el Semanario Judicial de la Federación y, por ende, se considera de aplicación obligatoria a partir del lunes 17 de febrero de 2014, para los efectos previstos en el punto séptimo del Acuerdo General Plenario 19/2013.</w:t>
      </w:r>
    </w:p>
    <w:p w14:paraId="4C33BE5D" w14:textId="77777777" w:rsidR="00B64608" w:rsidRPr="00B955FB" w:rsidRDefault="00B64608">
      <w:pPr>
        <w:spacing w:after="0" w:line="360" w:lineRule="auto"/>
        <w:ind w:right="567"/>
        <w:jc w:val="both"/>
        <w:rPr>
          <w:rFonts w:ascii="Palatino Linotype" w:hAnsi="Palatino Linotype" w:cs="Tahoma"/>
        </w:rPr>
      </w:pPr>
    </w:p>
    <w:p w14:paraId="781AD9D0" w14:textId="44B6A744" w:rsidR="0088027A" w:rsidRDefault="00B64608">
      <w:pPr>
        <w:spacing w:after="0" w:line="360" w:lineRule="auto"/>
        <w:jc w:val="both"/>
        <w:rPr>
          <w:rFonts w:ascii="Palatino Linotype" w:hAnsi="Palatino Linotype" w:cs="Tahoma"/>
        </w:rPr>
      </w:pPr>
      <w:r w:rsidRPr="00B955FB">
        <w:rPr>
          <w:rFonts w:ascii="Palatino Linotype" w:hAnsi="Palatino Linotype" w:cs="Tahoma"/>
        </w:rPr>
        <w:t>En este contexto, dar a conocer información de la existencia de</w:t>
      </w:r>
      <w:r w:rsidR="00443D43">
        <w:rPr>
          <w:rFonts w:ascii="Palatino Linotype" w:hAnsi="Palatino Linotype" w:cs="Tahoma"/>
        </w:rPr>
        <w:t xml:space="preserve"> denuncias o</w:t>
      </w:r>
      <w:r w:rsidRPr="00B955FB">
        <w:rPr>
          <w:rFonts w:ascii="Palatino Linotype" w:hAnsi="Palatino Linotype" w:cs="Tahoma"/>
        </w:rPr>
        <w:t xml:space="preserve"> procedimientos en contra de una persona</w:t>
      </w:r>
      <w:r w:rsidR="00B232A6">
        <w:rPr>
          <w:rFonts w:ascii="Palatino Linotype" w:hAnsi="Palatino Linotype" w:cs="Tahoma"/>
        </w:rPr>
        <w:t xml:space="preserve"> </w:t>
      </w:r>
      <w:r w:rsidR="00026461">
        <w:rPr>
          <w:rFonts w:ascii="Palatino Linotype" w:hAnsi="Palatino Linotype" w:cs="Tahoma"/>
        </w:rPr>
        <w:t>sin que sea posible verificar si fue o no responsable del acto que se le imputa</w:t>
      </w:r>
      <w:r w:rsidRPr="00B955FB">
        <w:rPr>
          <w:rFonts w:ascii="Palatino Linotype" w:hAnsi="Palatino Linotype" w:cs="Tahoma"/>
        </w:rPr>
        <w:t>, puede condicionar negativamente la opinión que otros se formen de ella, causado así un daño a su reputación personal y profesional</w:t>
      </w:r>
      <w:r w:rsidR="00026461">
        <w:rPr>
          <w:rFonts w:ascii="Palatino Linotype" w:hAnsi="Palatino Linotype" w:cs="Tahoma"/>
        </w:rPr>
        <w:t>; esto es,</w:t>
      </w:r>
      <w:r w:rsidRPr="00B955FB">
        <w:rPr>
          <w:rFonts w:ascii="Palatino Linotype" w:hAnsi="Palatino Linotype" w:cs="Tahoma"/>
        </w:rPr>
        <w:t xml:space="preserve"> si los procedimientos de que se trate no han sido concluidos, </w:t>
      </w:r>
      <w:r w:rsidR="00026461">
        <w:rPr>
          <w:rFonts w:ascii="Palatino Linotype" w:hAnsi="Palatino Linotype" w:cs="Tahoma"/>
        </w:rPr>
        <w:t>se trata de información</w:t>
      </w:r>
      <w:r w:rsidR="001201F7">
        <w:rPr>
          <w:rFonts w:ascii="Palatino Linotype" w:hAnsi="Palatino Linotype" w:cs="Tahoma"/>
        </w:rPr>
        <w:t xml:space="preserve"> que debe ser</w:t>
      </w:r>
      <w:r w:rsidR="00026461">
        <w:rPr>
          <w:rFonts w:ascii="Palatino Linotype" w:hAnsi="Palatino Linotype" w:cs="Tahoma"/>
        </w:rPr>
        <w:t xml:space="preserve"> clasificada </w:t>
      </w:r>
      <w:r w:rsidR="001201F7">
        <w:rPr>
          <w:rFonts w:ascii="Palatino Linotype" w:hAnsi="Palatino Linotype" w:cs="Tahoma"/>
        </w:rPr>
        <w:t xml:space="preserve">como reservada </w:t>
      </w:r>
      <w:r w:rsidRPr="00B955FB">
        <w:rPr>
          <w:rFonts w:ascii="Palatino Linotype" w:hAnsi="Palatino Linotype" w:cs="Tahoma"/>
        </w:rPr>
        <w:t xml:space="preserve">conforme al artículo 140, </w:t>
      </w:r>
      <w:r w:rsidR="003F6A0A">
        <w:rPr>
          <w:rFonts w:ascii="Palatino Linotype" w:hAnsi="Palatino Linotype" w:cs="Tahoma"/>
        </w:rPr>
        <w:t xml:space="preserve">fracción VI, </w:t>
      </w:r>
      <w:r w:rsidRPr="00B955FB">
        <w:rPr>
          <w:rFonts w:ascii="Palatino Linotype" w:hAnsi="Palatino Linotype" w:cs="Tahoma"/>
        </w:rPr>
        <w:t xml:space="preserve">de la Ley de Transparencia y Acceso a la Información Pública del Estado de México y Municipios, </w:t>
      </w:r>
      <w:r w:rsidR="003F6A0A">
        <w:rPr>
          <w:rFonts w:ascii="Palatino Linotype" w:hAnsi="Palatino Linotype" w:cs="Tahoma"/>
        </w:rPr>
        <w:t xml:space="preserve">el cual dispone que se </w:t>
      </w:r>
      <w:r w:rsidRPr="00B955FB">
        <w:rPr>
          <w:rFonts w:ascii="Palatino Linotype" w:hAnsi="Palatino Linotype" w:cs="Tahoma"/>
        </w:rPr>
        <w:t>deben ser tratados como información reservada</w:t>
      </w:r>
      <w:r w:rsidR="00BD04EC">
        <w:rPr>
          <w:rFonts w:ascii="Palatino Linotype" w:hAnsi="Palatino Linotype" w:cs="Tahoma"/>
        </w:rPr>
        <w:t xml:space="preserve"> los procedimientos judiciales o administrativos </w:t>
      </w:r>
      <w:r w:rsidR="00BD04EC">
        <w:rPr>
          <w:rFonts w:ascii="Palatino Linotype" w:hAnsi="Palatino Linotype" w:cs="Tahoma"/>
        </w:rPr>
        <w:lastRenderedPageBreak/>
        <w:t>incluidos los de quejas o denuncias</w:t>
      </w:r>
      <w:r w:rsidR="00021691">
        <w:rPr>
          <w:rFonts w:ascii="Palatino Linotype" w:hAnsi="Palatino Linotype" w:cs="Tahoma"/>
        </w:rPr>
        <w:t>, inconformidades, así como responsabilidades administrativas y resarcitorias</w:t>
      </w:r>
      <w:r w:rsidR="00BD04EC">
        <w:rPr>
          <w:rFonts w:ascii="Palatino Linotype" w:hAnsi="Palatino Linotype" w:cs="Tahoma"/>
        </w:rPr>
        <w:t xml:space="preserve"> </w:t>
      </w:r>
      <w:r w:rsidRPr="00B955FB">
        <w:rPr>
          <w:rFonts w:ascii="Palatino Linotype" w:hAnsi="Palatino Linotype" w:cs="Tahoma"/>
        </w:rPr>
        <w:t xml:space="preserve"> en tanto no hayan quedado firmes.</w:t>
      </w:r>
    </w:p>
    <w:p w14:paraId="2ED1A68C" w14:textId="3BEF08A0" w:rsidR="00021691" w:rsidRDefault="00021691">
      <w:pPr>
        <w:spacing w:after="0" w:line="360" w:lineRule="auto"/>
        <w:jc w:val="both"/>
        <w:rPr>
          <w:rFonts w:ascii="Palatino Linotype" w:hAnsi="Palatino Linotype" w:cs="Tahoma"/>
        </w:rPr>
      </w:pPr>
    </w:p>
    <w:p w14:paraId="5C2AABB4" w14:textId="382B29A2" w:rsidR="00021691" w:rsidRPr="00B955FB" w:rsidRDefault="00021691">
      <w:pPr>
        <w:spacing w:after="0" w:line="360" w:lineRule="auto"/>
        <w:jc w:val="both"/>
        <w:rPr>
          <w:rFonts w:ascii="Palatino Linotype" w:hAnsi="Palatino Linotype" w:cs="Tahoma"/>
        </w:rPr>
      </w:pPr>
      <w:r>
        <w:rPr>
          <w:rFonts w:ascii="Palatino Linotype" w:hAnsi="Palatino Linotype" w:cs="Tahoma"/>
        </w:rPr>
        <w:t xml:space="preserve">Una vez que la determinación final ha causado estado, la información no sólo es pública, sino que además </w:t>
      </w:r>
      <w:r w:rsidR="00771373">
        <w:rPr>
          <w:rFonts w:ascii="Palatino Linotype" w:hAnsi="Palatino Linotype" w:cs="Tahoma"/>
        </w:rPr>
        <w:t xml:space="preserve">las sanciones que son impuestas a los servidores públicos forman parte de la información pública de oficio establecida en el artículo 92, fracción </w:t>
      </w:r>
      <w:r w:rsidR="00512FA6">
        <w:rPr>
          <w:rFonts w:ascii="Palatino Linotype" w:hAnsi="Palatino Linotype" w:cs="Tahoma"/>
        </w:rPr>
        <w:t>XXI, de la Ley en cita</w:t>
      </w:r>
      <w:r w:rsidR="00BF2728">
        <w:rPr>
          <w:rFonts w:ascii="Palatino Linotype" w:hAnsi="Palatino Linotype" w:cs="Tahoma"/>
        </w:rPr>
        <w:t xml:space="preserve">; de tal suerte que, sin el pleno conocimiento de que la información solicitada por el recurrente se trata de un expediente que causó estado, el ISSEMYM debió limitarse a orientar al particular a </w:t>
      </w:r>
      <w:r w:rsidR="005C0199">
        <w:rPr>
          <w:rFonts w:ascii="Palatino Linotype" w:hAnsi="Palatino Linotype" w:cs="Tahoma"/>
        </w:rPr>
        <w:t>que solicitara la información ante la autoridad competente.</w:t>
      </w:r>
    </w:p>
    <w:p w14:paraId="3922ED36" w14:textId="77777777" w:rsidR="00F55679" w:rsidRPr="00B955FB" w:rsidRDefault="00F55679">
      <w:pPr>
        <w:spacing w:after="0" w:line="360" w:lineRule="auto"/>
        <w:jc w:val="both"/>
        <w:rPr>
          <w:rFonts w:ascii="Palatino Linotype" w:hAnsi="Palatino Linotype" w:cs="Tahoma"/>
        </w:rPr>
      </w:pPr>
    </w:p>
    <w:p w14:paraId="0BF2F2C8" w14:textId="77777777" w:rsidR="009E0861" w:rsidRPr="00B955FB" w:rsidRDefault="009E0861">
      <w:pPr>
        <w:spacing w:after="0" w:line="360" w:lineRule="auto"/>
        <w:jc w:val="both"/>
        <w:rPr>
          <w:rFonts w:ascii="Palatino Linotype" w:hAnsi="Palatino Linotype" w:cs="Tahoma"/>
        </w:rPr>
      </w:pPr>
      <w:r w:rsidRPr="00B955FB">
        <w:rPr>
          <w:rFonts w:ascii="Palatino Linotype" w:hAnsi="Palatino Linotype" w:cs="Tahoma"/>
        </w:rPr>
        <w:t xml:space="preserve">Así, con base en los razonamientos expuestos, </w:t>
      </w:r>
      <w:r w:rsidR="003437A4" w:rsidRPr="00B955FB">
        <w:rPr>
          <w:rFonts w:ascii="Palatino Linotype" w:hAnsi="Palatino Linotype" w:cs="Tahoma"/>
          <w:b/>
        </w:rPr>
        <w:t>se emite la</w:t>
      </w:r>
      <w:r w:rsidRPr="00B955FB">
        <w:rPr>
          <w:rFonts w:ascii="Palatino Linotype" w:hAnsi="Palatino Linotype" w:cs="Tahoma"/>
          <w:b/>
        </w:rPr>
        <w:t xml:space="preserve"> presente </w:t>
      </w:r>
      <w:r w:rsidR="003437A4" w:rsidRPr="00B955FB">
        <w:rPr>
          <w:rFonts w:ascii="Palatino Linotype" w:hAnsi="Palatino Linotype" w:cs="Tahoma"/>
          <w:b/>
        </w:rPr>
        <w:t>Opinión</w:t>
      </w:r>
      <w:r w:rsidRPr="00B955FB">
        <w:rPr>
          <w:rFonts w:ascii="Palatino Linotype" w:hAnsi="Palatino Linotype" w:cs="Tahoma"/>
          <w:b/>
        </w:rPr>
        <w:t xml:space="preserve"> Particular</w:t>
      </w:r>
      <w:r w:rsidRPr="00B955FB">
        <w:rPr>
          <w:rFonts w:ascii="Palatino Linotype" w:hAnsi="Palatino Linotype" w:cs="Tahoma"/>
        </w:rPr>
        <w:t>.</w:t>
      </w:r>
    </w:p>
    <w:p w14:paraId="0258A50C" w14:textId="77777777" w:rsidR="00553ADE" w:rsidRPr="00B955FB" w:rsidRDefault="00553ADE">
      <w:pPr>
        <w:spacing w:after="0" w:line="360" w:lineRule="auto"/>
        <w:jc w:val="center"/>
        <w:rPr>
          <w:rFonts w:ascii="Palatino Linotype" w:hAnsi="Palatino Linotype" w:cs="Tahoma"/>
        </w:rPr>
      </w:pPr>
    </w:p>
    <w:p w14:paraId="1DC06E4A" w14:textId="77777777" w:rsidR="00553ADE" w:rsidRPr="00B955FB" w:rsidRDefault="00D933AD">
      <w:pPr>
        <w:spacing w:after="0" w:line="360" w:lineRule="auto"/>
        <w:jc w:val="center"/>
        <w:rPr>
          <w:rFonts w:ascii="Palatino Linotype" w:hAnsi="Palatino Linotype" w:cs="Tahoma"/>
        </w:rPr>
      </w:pPr>
      <w:r w:rsidRPr="00B955FB">
        <w:rPr>
          <w:rFonts w:ascii="Palatino Linotype" w:hAnsi="Palatino Linotype" w:cs="Tahoma"/>
        </w:rPr>
        <w:t>(Rúbrica)</w:t>
      </w:r>
    </w:p>
    <w:p w14:paraId="7A53D7CF" w14:textId="77777777" w:rsidR="001F55F4" w:rsidRPr="00B955FB" w:rsidRDefault="001F55F4">
      <w:pPr>
        <w:spacing w:after="0" w:line="360" w:lineRule="auto"/>
        <w:jc w:val="both"/>
        <w:rPr>
          <w:rFonts w:ascii="Palatino Linotype" w:hAnsi="Palatino Linotype" w:cs="Tahoma"/>
        </w:rPr>
      </w:pPr>
    </w:p>
    <w:p w14:paraId="7D8B299D" w14:textId="77777777" w:rsidR="00553ADE" w:rsidRPr="00B955FB" w:rsidRDefault="00553ADE">
      <w:pPr>
        <w:spacing w:after="0" w:line="360" w:lineRule="auto"/>
        <w:jc w:val="center"/>
        <w:rPr>
          <w:rFonts w:ascii="Palatino Linotype" w:hAnsi="Palatino Linotype" w:cs="Tahoma"/>
          <w:b/>
        </w:rPr>
      </w:pPr>
      <w:r w:rsidRPr="00B955FB">
        <w:rPr>
          <w:rFonts w:ascii="Palatino Linotype" w:hAnsi="Palatino Linotype" w:cs="Tahoma"/>
          <w:b/>
        </w:rPr>
        <w:t>Luis Gustavo Parra Noriega</w:t>
      </w:r>
    </w:p>
    <w:p w14:paraId="5EC87155" w14:textId="77777777" w:rsidR="00553ADE" w:rsidRPr="00B955FB" w:rsidRDefault="00553ADE">
      <w:pPr>
        <w:spacing w:after="0" w:line="360" w:lineRule="auto"/>
        <w:jc w:val="center"/>
        <w:rPr>
          <w:rFonts w:ascii="Palatino Linotype" w:hAnsi="Palatino Linotype" w:cs="Tahoma"/>
        </w:rPr>
      </w:pPr>
      <w:r w:rsidRPr="00B955FB">
        <w:rPr>
          <w:rFonts w:ascii="Palatino Linotype" w:hAnsi="Palatino Linotype" w:cs="Tahoma"/>
        </w:rPr>
        <w:t>Comisionado</w:t>
      </w:r>
    </w:p>
    <w:p w14:paraId="4AB0A91D" w14:textId="77777777" w:rsidR="003512C9" w:rsidRPr="00B955FB" w:rsidRDefault="009D21E1">
      <w:pPr>
        <w:spacing w:after="0" w:line="360" w:lineRule="auto"/>
        <w:jc w:val="both"/>
        <w:rPr>
          <w:rFonts w:ascii="Palatino Linotype" w:hAnsi="Palatino Linotype" w:cs="Tahoma"/>
        </w:rPr>
      </w:pPr>
      <w:r w:rsidRPr="00B955FB">
        <w:rPr>
          <w:rFonts w:ascii="Palatino Linotype" w:hAnsi="Palatino Linotype" w:cs="Tahoma"/>
        </w:rPr>
        <w:t xml:space="preserve"> </w:t>
      </w:r>
    </w:p>
    <w:sectPr w:rsidR="003512C9" w:rsidRPr="00B955F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66A04" w14:textId="77777777" w:rsidR="009E44D4" w:rsidRDefault="009E44D4" w:rsidP="00EE29F6">
      <w:pPr>
        <w:spacing w:after="0" w:line="240" w:lineRule="auto"/>
      </w:pPr>
      <w:r>
        <w:separator/>
      </w:r>
    </w:p>
  </w:endnote>
  <w:endnote w:type="continuationSeparator" w:id="0">
    <w:p w14:paraId="76EC60AC" w14:textId="77777777" w:rsidR="009E44D4" w:rsidRDefault="009E44D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C7E2E8E" w14:textId="77777777" w:rsidR="00AC333A" w:rsidRDefault="00AC333A">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1843AE">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1843AE">
              <w:rPr>
                <w:b/>
                <w:bCs/>
                <w:noProof/>
              </w:rPr>
              <w:t>5</w:t>
            </w:r>
            <w:r>
              <w:rPr>
                <w:b/>
                <w:bCs/>
                <w:sz w:val="24"/>
                <w:szCs w:val="24"/>
              </w:rPr>
              <w:fldChar w:fldCharType="end"/>
            </w:r>
          </w:p>
        </w:sdtContent>
      </w:sdt>
    </w:sdtContent>
  </w:sdt>
  <w:p w14:paraId="0FCCE7C3"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D9D0E" w14:textId="77777777" w:rsidR="009E44D4" w:rsidRDefault="009E44D4" w:rsidP="00EE29F6">
      <w:pPr>
        <w:spacing w:after="0" w:line="240" w:lineRule="auto"/>
      </w:pPr>
      <w:r>
        <w:separator/>
      </w:r>
    </w:p>
  </w:footnote>
  <w:footnote w:type="continuationSeparator" w:id="0">
    <w:p w14:paraId="5192097B" w14:textId="77777777" w:rsidR="009E44D4" w:rsidRDefault="009E44D4"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14:paraId="40718472" w14:textId="77777777" w:rsidTr="00543DF4">
      <w:trPr>
        <w:trHeight w:val="1843"/>
      </w:trPr>
      <w:tc>
        <w:tcPr>
          <w:tcW w:w="2830" w:type="dxa"/>
          <w:vAlign w:val="bottom"/>
        </w:tcPr>
        <w:p w14:paraId="5AD2FCCD"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15944ED3" wp14:editId="75A0C054">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14:paraId="6B392F18" w14:textId="77777777" w:rsidR="0077694E" w:rsidRDefault="0077694E" w:rsidP="0077694E">
          <w:pPr>
            <w:pStyle w:val="Encabezado"/>
            <w:tabs>
              <w:tab w:val="clear" w:pos="4252"/>
              <w:tab w:val="center" w:pos="2614"/>
            </w:tabs>
          </w:pPr>
        </w:p>
      </w:tc>
      <w:tc>
        <w:tcPr>
          <w:tcW w:w="6237" w:type="dxa"/>
          <w:vAlign w:val="center"/>
        </w:tcPr>
        <w:p w14:paraId="0BD097C5" w14:textId="77777777" w:rsidR="001106EA" w:rsidRPr="001106EA" w:rsidRDefault="001106EA" w:rsidP="001106EA">
          <w:pPr>
            <w:pStyle w:val="Encabezado"/>
            <w:ind w:left="-108" w:right="-250"/>
            <w:jc w:val="both"/>
            <w:rPr>
              <w:rFonts w:ascii="Tahoma" w:hAnsi="Tahoma" w:cs="Tahoma"/>
            </w:rPr>
          </w:pPr>
        </w:p>
        <w:p w14:paraId="5C5B1158" w14:textId="77777777" w:rsidR="001106EA" w:rsidRPr="001106EA" w:rsidRDefault="00DD7BF6" w:rsidP="001106EA">
          <w:pPr>
            <w:pStyle w:val="Encabezado"/>
            <w:ind w:left="-108" w:right="-250"/>
            <w:jc w:val="both"/>
            <w:rPr>
              <w:rFonts w:ascii="Tahoma" w:hAnsi="Tahoma" w:cs="Tahoma"/>
              <w:b/>
            </w:rPr>
          </w:pPr>
          <w:r>
            <w:rPr>
              <w:rFonts w:ascii="Tahoma" w:hAnsi="Tahoma" w:cs="Tahoma"/>
              <w:b/>
            </w:rPr>
            <w:t xml:space="preserve">Opinión </w:t>
          </w:r>
          <w:r w:rsidR="001106EA" w:rsidRPr="001106EA">
            <w:rPr>
              <w:rFonts w:ascii="Tahoma" w:hAnsi="Tahoma" w:cs="Tahoma"/>
              <w:b/>
            </w:rPr>
            <w:t>Particular</w:t>
          </w:r>
        </w:p>
        <w:p w14:paraId="2CB54053" w14:textId="77777777" w:rsidR="0077694E" w:rsidRPr="001106EA" w:rsidRDefault="001106EA" w:rsidP="0046269D">
          <w:pPr>
            <w:pStyle w:val="Encabezado"/>
            <w:ind w:left="-108" w:right="-250"/>
            <w:jc w:val="both"/>
            <w:rPr>
              <w:rFonts w:ascii="Tahoma" w:hAnsi="Tahoma" w:cs="Tahoma"/>
            </w:rPr>
          </w:pPr>
          <w:r w:rsidRPr="001106EA">
            <w:rPr>
              <w:rFonts w:ascii="Tahoma" w:hAnsi="Tahoma" w:cs="Tahoma"/>
              <w:b/>
            </w:rPr>
            <w:t xml:space="preserve">Recurso de Revisión: </w:t>
          </w:r>
          <w:r w:rsidR="00DD7BF6" w:rsidRPr="00DD7BF6">
            <w:rPr>
              <w:rFonts w:ascii="Tahoma" w:hAnsi="Tahoma" w:cs="Tahoma"/>
              <w:b/>
              <w:lang w:val="es-ES_tradnl"/>
            </w:rPr>
            <w:t>0</w:t>
          </w:r>
          <w:r w:rsidR="00716BF9">
            <w:rPr>
              <w:rFonts w:ascii="Tahoma" w:hAnsi="Tahoma" w:cs="Tahoma"/>
              <w:b/>
              <w:lang w:val="es-ES_tradnl"/>
            </w:rPr>
            <w:t>3829</w:t>
          </w:r>
          <w:r w:rsidR="00DD7BF6" w:rsidRPr="00DD7BF6">
            <w:rPr>
              <w:rFonts w:ascii="Tahoma" w:hAnsi="Tahoma" w:cs="Tahoma"/>
              <w:b/>
              <w:lang w:val="es-ES_tradnl"/>
            </w:rPr>
            <w:t>/INFOEM/IP/RR/2018</w:t>
          </w:r>
        </w:p>
      </w:tc>
    </w:tr>
  </w:tbl>
  <w:p w14:paraId="5DF2F084"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BC693E"/>
    <w:multiLevelType w:val="hybridMultilevel"/>
    <w:tmpl w:val="E7BE18C4"/>
    <w:lvl w:ilvl="0" w:tplc="080A000F">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9"/>
  </w:num>
  <w:num w:numId="6">
    <w:abstractNumId w:val="4"/>
  </w:num>
  <w:num w:numId="7">
    <w:abstractNumId w:val="7"/>
  </w:num>
  <w:num w:numId="8">
    <w:abstractNumId w:val="13"/>
  </w:num>
  <w:num w:numId="9">
    <w:abstractNumId w:val="10"/>
  </w:num>
  <w:num w:numId="10">
    <w:abstractNumId w:val="11"/>
  </w:num>
  <w:num w:numId="11">
    <w:abstractNumId w:val="12"/>
  </w:num>
  <w:num w:numId="12">
    <w:abstractNumId w:val="1"/>
  </w:num>
  <w:num w:numId="13">
    <w:abstractNumId w:val="6"/>
  </w:num>
  <w:num w:numId="14">
    <w:abstractNumId w:val="14"/>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1691"/>
    <w:rsid w:val="00022968"/>
    <w:rsid w:val="0002508B"/>
    <w:rsid w:val="0002627D"/>
    <w:rsid w:val="00026461"/>
    <w:rsid w:val="0002759D"/>
    <w:rsid w:val="000301C6"/>
    <w:rsid w:val="000476B1"/>
    <w:rsid w:val="00060F74"/>
    <w:rsid w:val="0006561A"/>
    <w:rsid w:val="00087AC8"/>
    <w:rsid w:val="00097988"/>
    <w:rsid w:val="00097DC7"/>
    <w:rsid w:val="000A0378"/>
    <w:rsid w:val="000B235B"/>
    <w:rsid w:val="000B267B"/>
    <w:rsid w:val="000B7F6F"/>
    <w:rsid w:val="000C10B7"/>
    <w:rsid w:val="000D186F"/>
    <w:rsid w:val="000E7575"/>
    <w:rsid w:val="000F10D1"/>
    <w:rsid w:val="0010688C"/>
    <w:rsid w:val="00106B65"/>
    <w:rsid w:val="001106EA"/>
    <w:rsid w:val="001159DC"/>
    <w:rsid w:val="00116E1A"/>
    <w:rsid w:val="001201F7"/>
    <w:rsid w:val="0013309F"/>
    <w:rsid w:val="00136AD8"/>
    <w:rsid w:val="0014038B"/>
    <w:rsid w:val="00140A57"/>
    <w:rsid w:val="0014736A"/>
    <w:rsid w:val="00162325"/>
    <w:rsid w:val="00164625"/>
    <w:rsid w:val="00164BFE"/>
    <w:rsid w:val="001843AE"/>
    <w:rsid w:val="0018472D"/>
    <w:rsid w:val="00193AA8"/>
    <w:rsid w:val="00197A72"/>
    <w:rsid w:val="001A145C"/>
    <w:rsid w:val="001A6B19"/>
    <w:rsid w:val="001A6BD9"/>
    <w:rsid w:val="001C1C64"/>
    <w:rsid w:val="001D4D03"/>
    <w:rsid w:val="001F55F4"/>
    <w:rsid w:val="002020E4"/>
    <w:rsid w:val="00212B5B"/>
    <w:rsid w:val="0022512E"/>
    <w:rsid w:val="00231B68"/>
    <w:rsid w:val="00243A13"/>
    <w:rsid w:val="00246FAF"/>
    <w:rsid w:val="002801EF"/>
    <w:rsid w:val="0028037C"/>
    <w:rsid w:val="002816CB"/>
    <w:rsid w:val="00291424"/>
    <w:rsid w:val="00291CC0"/>
    <w:rsid w:val="00295BA5"/>
    <w:rsid w:val="002A138B"/>
    <w:rsid w:val="002A1727"/>
    <w:rsid w:val="002A2EE7"/>
    <w:rsid w:val="002A3068"/>
    <w:rsid w:val="002C1C31"/>
    <w:rsid w:val="002C2405"/>
    <w:rsid w:val="002E3780"/>
    <w:rsid w:val="002E5A1A"/>
    <w:rsid w:val="00316ED2"/>
    <w:rsid w:val="00322FB8"/>
    <w:rsid w:val="00333B7A"/>
    <w:rsid w:val="003437A4"/>
    <w:rsid w:val="00350188"/>
    <w:rsid w:val="003512C9"/>
    <w:rsid w:val="00352D90"/>
    <w:rsid w:val="00357982"/>
    <w:rsid w:val="00362FD6"/>
    <w:rsid w:val="003A6218"/>
    <w:rsid w:val="003B6547"/>
    <w:rsid w:val="003B7A5E"/>
    <w:rsid w:val="003C724B"/>
    <w:rsid w:val="003E3884"/>
    <w:rsid w:val="003F2426"/>
    <w:rsid w:val="003F48C2"/>
    <w:rsid w:val="003F6A0A"/>
    <w:rsid w:val="0040139C"/>
    <w:rsid w:val="00412CB2"/>
    <w:rsid w:val="004211BB"/>
    <w:rsid w:val="00433746"/>
    <w:rsid w:val="00434C88"/>
    <w:rsid w:val="00435E69"/>
    <w:rsid w:val="00443D43"/>
    <w:rsid w:val="00445BDF"/>
    <w:rsid w:val="00447F6F"/>
    <w:rsid w:val="0046269D"/>
    <w:rsid w:val="00490F50"/>
    <w:rsid w:val="004A4555"/>
    <w:rsid w:val="004A555E"/>
    <w:rsid w:val="004B08C4"/>
    <w:rsid w:val="004B541F"/>
    <w:rsid w:val="004C1079"/>
    <w:rsid w:val="004C4912"/>
    <w:rsid w:val="004C6E57"/>
    <w:rsid w:val="004E7007"/>
    <w:rsid w:val="00502815"/>
    <w:rsid w:val="00502A29"/>
    <w:rsid w:val="0051137C"/>
    <w:rsid w:val="00512FA6"/>
    <w:rsid w:val="00524DA5"/>
    <w:rsid w:val="00526DBD"/>
    <w:rsid w:val="0053005A"/>
    <w:rsid w:val="00543DF4"/>
    <w:rsid w:val="00544812"/>
    <w:rsid w:val="00553ADE"/>
    <w:rsid w:val="0056120D"/>
    <w:rsid w:val="00582CCB"/>
    <w:rsid w:val="00584D73"/>
    <w:rsid w:val="0059329D"/>
    <w:rsid w:val="005A2510"/>
    <w:rsid w:val="005C0199"/>
    <w:rsid w:val="005C094E"/>
    <w:rsid w:val="005C73EE"/>
    <w:rsid w:val="005D11C8"/>
    <w:rsid w:val="005E19BE"/>
    <w:rsid w:val="005E2798"/>
    <w:rsid w:val="00600164"/>
    <w:rsid w:val="00605683"/>
    <w:rsid w:val="006248F2"/>
    <w:rsid w:val="00624DE5"/>
    <w:rsid w:val="00631A91"/>
    <w:rsid w:val="00645087"/>
    <w:rsid w:val="00654ACD"/>
    <w:rsid w:val="00657396"/>
    <w:rsid w:val="00682003"/>
    <w:rsid w:val="00684B16"/>
    <w:rsid w:val="006D7F35"/>
    <w:rsid w:val="006F5316"/>
    <w:rsid w:val="006F546A"/>
    <w:rsid w:val="00701D71"/>
    <w:rsid w:val="00703667"/>
    <w:rsid w:val="00716BF9"/>
    <w:rsid w:val="00724F08"/>
    <w:rsid w:val="007378E2"/>
    <w:rsid w:val="00742A15"/>
    <w:rsid w:val="00750021"/>
    <w:rsid w:val="00771373"/>
    <w:rsid w:val="0077694E"/>
    <w:rsid w:val="007A2D13"/>
    <w:rsid w:val="007D3257"/>
    <w:rsid w:val="007F1C1D"/>
    <w:rsid w:val="007F7D80"/>
    <w:rsid w:val="008328BB"/>
    <w:rsid w:val="00836BC2"/>
    <w:rsid w:val="00841076"/>
    <w:rsid w:val="00861757"/>
    <w:rsid w:val="0086563A"/>
    <w:rsid w:val="0088027A"/>
    <w:rsid w:val="00886268"/>
    <w:rsid w:val="00891412"/>
    <w:rsid w:val="008A0447"/>
    <w:rsid w:val="008A1DE1"/>
    <w:rsid w:val="008A37D1"/>
    <w:rsid w:val="008A3DA9"/>
    <w:rsid w:val="008B08C9"/>
    <w:rsid w:val="008B4DA2"/>
    <w:rsid w:val="008E2AFF"/>
    <w:rsid w:val="008E54E2"/>
    <w:rsid w:val="009039FE"/>
    <w:rsid w:val="00907BB6"/>
    <w:rsid w:val="00922B2E"/>
    <w:rsid w:val="00927BD1"/>
    <w:rsid w:val="00950355"/>
    <w:rsid w:val="00954BF1"/>
    <w:rsid w:val="00962B86"/>
    <w:rsid w:val="0096327E"/>
    <w:rsid w:val="00974836"/>
    <w:rsid w:val="00990094"/>
    <w:rsid w:val="009943E1"/>
    <w:rsid w:val="009B22ED"/>
    <w:rsid w:val="009B2C0B"/>
    <w:rsid w:val="009C0313"/>
    <w:rsid w:val="009D07E2"/>
    <w:rsid w:val="009D21E1"/>
    <w:rsid w:val="009D49BE"/>
    <w:rsid w:val="009E0861"/>
    <w:rsid w:val="009E0AF1"/>
    <w:rsid w:val="009E41F7"/>
    <w:rsid w:val="009E44D4"/>
    <w:rsid w:val="009E476B"/>
    <w:rsid w:val="00A32921"/>
    <w:rsid w:val="00A364BA"/>
    <w:rsid w:val="00A5061A"/>
    <w:rsid w:val="00A67498"/>
    <w:rsid w:val="00A742D1"/>
    <w:rsid w:val="00A87924"/>
    <w:rsid w:val="00A96933"/>
    <w:rsid w:val="00AA090B"/>
    <w:rsid w:val="00AB6342"/>
    <w:rsid w:val="00AC333A"/>
    <w:rsid w:val="00AC4B32"/>
    <w:rsid w:val="00AD25D5"/>
    <w:rsid w:val="00AE7683"/>
    <w:rsid w:val="00AF3B6B"/>
    <w:rsid w:val="00B11E8F"/>
    <w:rsid w:val="00B1490B"/>
    <w:rsid w:val="00B232A6"/>
    <w:rsid w:val="00B263C5"/>
    <w:rsid w:val="00B64608"/>
    <w:rsid w:val="00B6468E"/>
    <w:rsid w:val="00B67355"/>
    <w:rsid w:val="00B712E5"/>
    <w:rsid w:val="00B7393F"/>
    <w:rsid w:val="00B761B1"/>
    <w:rsid w:val="00B955FB"/>
    <w:rsid w:val="00BB6EE3"/>
    <w:rsid w:val="00BC227C"/>
    <w:rsid w:val="00BC4882"/>
    <w:rsid w:val="00BC55D2"/>
    <w:rsid w:val="00BD04EC"/>
    <w:rsid w:val="00BD06FC"/>
    <w:rsid w:val="00BD4705"/>
    <w:rsid w:val="00BD5DBE"/>
    <w:rsid w:val="00BF2728"/>
    <w:rsid w:val="00C0131C"/>
    <w:rsid w:val="00C27B8D"/>
    <w:rsid w:val="00C30FD6"/>
    <w:rsid w:val="00C31FEE"/>
    <w:rsid w:val="00C3402E"/>
    <w:rsid w:val="00C55FFC"/>
    <w:rsid w:val="00C75CE0"/>
    <w:rsid w:val="00C84325"/>
    <w:rsid w:val="00C93921"/>
    <w:rsid w:val="00CA7627"/>
    <w:rsid w:val="00CC68E1"/>
    <w:rsid w:val="00CD4339"/>
    <w:rsid w:val="00CD6A54"/>
    <w:rsid w:val="00CE50F9"/>
    <w:rsid w:val="00CF11EE"/>
    <w:rsid w:val="00CF3AE2"/>
    <w:rsid w:val="00D05740"/>
    <w:rsid w:val="00D13875"/>
    <w:rsid w:val="00D15D07"/>
    <w:rsid w:val="00D160F2"/>
    <w:rsid w:val="00D357E1"/>
    <w:rsid w:val="00D37CDC"/>
    <w:rsid w:val="00D45BDF"/>
    <w:rsid w:val="00D51426"/>
    <w:rsid w:val="00D55429"/>
    <w:rsid w:val="00D65D0C"/>
    <w:rsid w:val="00D666D4"/>
    <w:rsid w:val="00D7239D"/>
    <w:rsid w:val="00D75FAE"/>
    <w:rsid w:val="00D77F63"/>
    <w:rsid w:val="00D9114A"/>
    <w:rsid w:val="00D933AD"/>
    <w:rsid w:val="00DA11C0"/>
    <w:rsid w:val="00DD7BF6"/>
    <w:rsid w:val="00DF6CA0"/>
    <w:rsid w:val="00E145E1"/>
    <w:rsid w:val="00E26123"/>
    <w:rsid w:val="00E34559"/>
    <w:rsid w:val="00E41481"/>
    <w:rsid w:val="00E416F8"/>
    <w:rsid w:val="00E656C1"/>
    <w:rsid w:val="00E82F77"/>
    <w:rsid w:val="00E83683"/>
    <w:rsid w:val="00E90136"/>
    <w:rsid w:val="00E9781F"/>
    <w:rsid w:val="00EA7E26"/>
    <w:rsid w:val="00EB36E3"/>
    <w:rsid w:val="00EB7128"/>
    <w:rsid w:val="00ED338E"/>
    <w:rsid w:val="00ED7F2A"/>
    <w:rsid w:val="00EE29F6"/>
    <w:rsid w:val="00F11484"/>
    <w:rsid w:val="00F14384"/>
    <w:rsid w:val="00F55679"/>
    <w:rsid w:val="00F5649D"/>
    <w:rsid w:val="00F63C67"/>
    <w:rsid w:val="00F84912"/>
    <w:rsid w:val="00F9218B"/>
    <w:rsid w:val="00FB3044"/>
    <w:rsid w:val="00FB59D6"/>
    <w:rsid w:val="00FC1D9D"/>
    <w:rsid w:val="00FD05DF"/>
    <w:rsid w:val="00FD1849"/>
    <w:rsid w:val="00FD3150"/>
    <w:rsid w:val="00FD530D"/>
    <w:rsid w:val="00FE23DE"/>
    <w:rsid w:val="00FF22F6"/>
    <w:rsid w:val="00FF5F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F868C"/>
  <w15:chartTrackingRefBased/>
  <w15:docId w15:val="{5063348A-ADB3-42DB-AF77-85F05C72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4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EA911-2B10-4AC1-9F2F-FE27D7716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1292</Words>
  <Characters>7110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42</cp:revision>
  <cp:lastPrinted>2018-10-01T19:36:00Z</cp:lastPrinted>
  <dcterms:created xsi:type="dcterms:W3CDTF">2018-12-11T04:53:00Z</dcterms:created>
  <dcterms:modified xsi:type="dcterms:W3CDTF">2018-12-11T23:14:00Z</dcterms:modified>
</cp:coreProperties>
</file>